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3193096</wp:posOffset>
            </wp:positionH>
            <wp:positionV relativeFrom="line">
              <wp:posOffset>-152396</wp:posOffset>
            </wp:positionV>
            <wp:extent cx="1157608" cy="1150306"/>
            <wp:effectExtent l="0" t="0" r="0" b="0"/>
            <wp:wrapThrough wrapText="bothSides" distL="152400" distR="152400">
              <wp:wrapPolygon edited="1">
                <wp:start x="10060" y="697"/>
                <wp:lineTo x="14005" y="1095"/>
                <wp:lineTo x="17162" y="2688"/>
                <wp:lineTo x="19627" y="5176"/>
                <wp:lineTo x="21008" y="8063"/>
                <wp:lineTo x="21403" y="11945"/>
                <wp:lineTo x="20515" y="15329"/>
                <wp:lineTo x="18542" y="18216"/>
                <wp:lineTo x="15781" y="20306"/>
                <wp:lineTo x="12822" y="21301"/>
                <wp:lineTo x="8581" y="21202"/>
                <wp:lineTo x="5425" y="19908"/>
                <wp:lineTo x="2860" y="17718"/>
                <wp:lineTo x="1184" y="14931"/>
                <wp:lineTo x="493" y="12144"/>
                <wp:lineTo x="789" y="8361"/>
                <wp:lineTo x="2367" y="5076"/>
                <wp:lineTo x="4833" y="2588"/>
                <wp:lineTo x="7890" y="1095"/>
                <wp:lineTo x="10060" y="697"/>
              </wp:wrapPolygon>
            </wp:wrapThrough>
            <wp:docPr id="1073741825" name="officeArt object" descr="logo FIRE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FIREG.png" descr="logo FIRE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8" cy="1150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</w:pPr>
    </w:p>
    <w:p>
      <w:pPr>
        <w:pStyle w:val="Corpo A"/>
      </w:pPr>
    </w:p>
    <w:p>
      <w:pPr>
        <w:pStyle w:val="Corpo A"/>
        <w:rPr>
          <w:sz w:val="16"/>
          <w:szCs w:val="16"/>
        </w:rPr>
      </w:pPr>
    </w:p>
    <w:p>
      <w:pPr>
        <w:pStyle w:val="Corpo A"/>
      </w:pPr>
    </w:p>
    <w:p>
      <w:pPr>
        <w:pStyle w:val="Corpo A"/>
        <w:rPr>
          <w:sz w:val="30"/>
          <w:szCs w:val="30"/>
        </w:rPr>
      </w:pPr>
    </w:p>
    <w:p>
      <w:pPr>
        <w:pStyle w:val="Corpo A"/>
      </w:pPr>
    </w:p>
    <w:p>
      <w:pPr>
        <w:pStyle w:val="Corpo A"/>
      </w:pPr>
    </w:p>
    <w:p>
      <w:pPr>
        <w:pStyle w:val="Corpo A"/>
        <w:spacing w:line="216" w:lineRule="auto"/>
        <w:jc w:val="center"/>
        <w:rPr>
          <w:sz w:val="8"/>
          <w:szCs w:val="8"/>
        </w:rPr>
      </w:pPr>
    </w:p>
    <w:p>
      <w:pPr>
        <w:pStyle w:val="Corpo A"/>
        <w:spacing w:line="21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GIANLUCA ARGELLATI</w:t>
      </w:r>
    </w:p>
    <w:p>
      <w:pPr>
        <w:pStyle w:val="Corpo A"/>
        <w:spacing w:line="216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Candidato al Consiglio Regionale</w:t>
      </w:r>
      <w:r>
        <w:rPr>
          <w:rFonts w:ascii="Arial" w:cs="Arial" w:hAnsi="Arial" w:eastAsia="Arial"/>
          <w:i w:val="1"/>
          <w:iCs w:val="1"/>
          <w:sz w:val="18"/>
          <w:szCs w:val="18"/>
          <w:lang w:val="it-IT"/>
        </w:rPr>
        <w:br w:type="textWrapping"/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Emilia Romagna</w:t>
      </w:r>
    </w:p>
    <w:p>
      <w:pPr>
        <w:pStyle w:val="Corpo A"/>
        <w:spacing w:line="264" w:lineRule="auto"/>
        <w:jc w:val="right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POLITICHE GIOVANILI: REGIONE PIU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ATTIVA E PRESENTE</w:t>
      </w:r>
    </w:p>
    <w:p>
      <w:pPr>
        <w:pStyle w:val="Corpo A"/>
        <w:spacing w:line="26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PER COMBATTERE IL DISAGIO E LA DISPERSIONE SCOLASTICA </w:t>
      </w:r>
    </w:p>
    <w:p>
      <w:pPr>
        <w:pStyle w:val="Corpo A"/>
        <w:jc w:val="center"/>
        <w:rPr>
          <w:rFonts w:ascii="Arial" w:cs="Arial" w:hAnsi="Arial" w:eastAsia="Arial"/>
        </w:rPr>
      </w:pPr>
    </w:p>
    <w:p>
      <w:pPr>
        <w:pStyle w:val="Corpo A"/>
        <w:jc w:val="both"/>
        <w:rPr>
          <w:rFonts w:ascii="Arial" w:cs="Arial" w:hAnsi="Arial" w:eastAsia="Arial"/>
          <w:sz w:val="12"/>
          <w:szCs w:val="12"/>
        </w:rPr>
      </w:pP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I giovani rappresentano non soltanto il cuore pulsante della nostra societ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ma anche il nostro futuro. Per questo sono convinto che la Regione, proprio per le importanti attribuzioni che la caratterizzano in ambito di politiche giovanili, debba destinare a questo settore importanti risorse economiche per garantire ai ragazzi e alle ragazze di tutto il territorio emiliano-romagnolo strumenti e opportunit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per migliorare e arricchire il loro percorso di formazione e di crescita. Ad iniziare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ambito scolastico, aiutando non solo gli enti locali territoriali negli interventi di efficientemente e ammodernamento del patrimonio edilizio, ma anche con progetti mirati a frenare la dispersione scolastica, sempre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alta purtroppo tra gli adolescenti.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Anche le attivit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sportive, che oltre agli aspetti agonistici hanno 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innegabile valenza sociale, educativa e culturale, vanno sostenute attraverso incentivi economici per consentire alle famiglie numerose e a quelle che vivono situazioni di fragilit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e di difficolt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economica, di garantire ai loro figli il diritto inalienabile alla pratica sportiva. 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Ma servono anche strumenti e progetti - che andrebbero pianificati in questo caso insieme alle province e ai comuni, proprio per assecondare le peculiarit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dei singoli territori - per combattere il sempre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preoccupante fenomeno del disagio giovanile; progetti che passano appunto attraverso il potenziamento delle attivit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sportive, attraverso iniziative di carattere extradidattico in ambito scolastico, con la predisposizione di corsi per aiutare i giovani ad imparare attivit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artigianali anche attraverso approcci di tipo ludico e ricreativo. Fondamentali, in quest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ottica, sono i centri di aggregazione giovanile, presidi importantissimi non solo per la socializzazione tra ragazzi e ragazze ma anche diffondere tra le giovani generazioni valori come la legalit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il rispetto delle regole,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accettazione delle diversit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la cultura ambientale.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 A"/>
        <w:spacing w:line="264" w:lineRule="auto"/>
        <w:jc w:val="both"/>
      </w:pPr>
      <w:r>
        <w:rPr>
          <w:rFonts w:ascii="Arial" w:hAnsi="Arial"/>
          <w:i w:val="1"/>
          <w:iCs w:val="1"/>
          <w:rtl w:val="0"/>
          <w:lang w:val="it-IT"/>
        </w:rPr>
        <w:t>Comunicato Stampa - Piacenza, 1</w:t>
      </w:r>
      <w:r>
        <w:rPr>
          <w:rFonts w:ascii="Arial" w:hAnsi="Arial"/>
          <w:i w:val="1"/>
          <w:iCs w:val="1"/>
          <w:rtl w:val="0"/>
          <w:lang w:val="it-IT"/>
        </w:rPr>
        <w:t>3</w:t>
      </w:r>
      <w:r>
        <w:rPr>
          <w:rFonts w:ascii="Arial" w:hAnsi="Arial"/>
          <w:i w:val="1"/>
          <w:iCs w:val="1"/>
          <w:rtl w:val="0"/>
          <w:lang w:val="it-IT"/>
        </w:rPr>
        <w:t xml:space="preserve"> novembre 2024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